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2CA09">
      <w:pPr>
        <w:widowControl/>
        <w:spacing w:line="360" w:lineRule="auto"/>
        <w:jc w:val="both"/>
        <w:rPr>
          <w:rStyle w:val="13"/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b/>
          <w:bCs w:val="0"/>
          <w:color w:val="auto"/>
          <w:kern w:val="0"/>
          <w:sz w:val="28"/>
          <w:szCs w:val="28"/>
        </w:rPr>
        <w:t xml:space="preserve">A Simplified Predictive Model Based on Enzyme Kinetics for </w:t>
      </w:r>
      <w:r>
        <w:rPr>
          <w:rFonts w:hint="default" w:ascii="Times New Roman" w:hAnsi="Times New Roman" w:cs="Times New Roman"/>
          <w:b/>
          <w:bCs w:val="0"/>
          <w:color w:val="auto"/>
          <w:kern w:val="0"/>
          <w:sz w:val="28"/>
          <w:szCs w:val="28"/>
        </w:rPr>
        <w:t xml:space="preserve">Metabolic </w:t>
      </w:r>
      <w:r>
        <w:rPr>
          <w:rStyle w:val="13"/>
          <w:rFonts w:hint="default" w:ascii="Times New Roman" w:hAnsi="Times New Roman" w:cs="Times New Roman"/>
          <w:b/>
          <w:bCs w:val="0"/>
          <w:color w:val="auto"/>
          <w:kern w:val="0"/>
          <w:sz w:val="28"/>
          <w:szCs w:val="28"/>
        </w:rPr>
        <w:t>Drug-Drug Interactions</w:t>
      </w:r>
    </w:p>
    <w:p w14:paraId="56CDE87D">
      <w:pPr>
        <w:pStyle w:val="11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Cong Hu</w:t>
      </w:r>
      <w:r>
        <w:rPr>
          <w:rFonts w:hint="default" w:ascii="Times New Roman" w:hAnsi="Times New Roman" w:cs="Times New Roman"/>
        </w:rPr>
        <w:t xml:space="preserve"> (1), </w:t>
      </w:r>
      <w:bookmarkStart w:id="0" w:name="OLE_LINK1"/>
      <w:r>
        <w:rPr>
          <w:rFonts w:hint="default" w:ascii="Times New Roman" w:hAnsi="Times New Roman" w:cs="Times New Roman"/>
          <w:bCs/>
          <w:color w:val="auto"/>
          <w:kern w:val="0"/>
          <w:sz w:val="24"/>
        </w:rPr>
        <w:t>Jingjing Wu</w:t>
      </w:r>
      <w:bookmarkEnd w:id="0"/>
      <w:r>
        <w:rPr>
          <w:rFonts w:hint="default" w:ascii="Times New Roman" w:hAnsi="Times New Roman" w:cs="Times New Roman"/>
        </w:rPr>
        <w:t xml:space="preserve"> (2), </w:t>
      </w:r>
      <w:r>
        <w:rPr>
          <w:rFonts w:hint="eastAsia" w:ascii="Times New Roman" w:hAnsi="Times New Roman" w:cs="Times New Roman"/>
          <w:lang w:val="en-US" w:eastAsia="zh-CN"/>
        </w:rPr>
        <w:t xml:space="preserve">Yu Liu 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 xml:space="preserve">), </w:t>
      </w:r>
      <w:r>
        <w:rPr>
          <w:rFonts w:hint="eastAsia" w:ascii="Times New Roman" w:hAnsi="Times New Roman" w:cs="Times New Roman"/>
          <w:lang w:val="en-US" w:eastAsia="zh-CN"/>
        </w:rPr>
        <w:t xml:space="preserve">Xiaojing Wang 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 xml:space="preserve">), </w:t>
      </w:r>
      <w:r>
        <w:rPr>
          <w:rFonts w:hint="default" w:ascii="Times New Roman" w:hAnsi="Times New Roman" w:cs="Times New Roman"/>
          <w:bCs/>
          <w:color w:val="auto"/>
          <w:kern w:val="0"/>
          <w:sz w:val="24"/>
        </w:rPr>
        <w:t>Ling Yang</w:t>
      </w:r>
      <w:r>
        <w:rPr>
          <w:rFonts w:hint="default" w:ascii="Times New Roman" w:hAnsi="Times New Roman" w:cs="Times New Roman"/>
        </w:rPr>
        <w:t xml:space="preserve"> (1)</w:t>
      </w:r>
      <w:r>
        <w:rPr>
          <w:rFonts w:hint="default" w:ascii="Times New Roman" w:hAnsi="Times New Roman" w:cs="Times New Roman"/>
          <w:vertAlign w:val="superscript"/>
          <w:lang w:val="en-US" w:eastAsia="zh-CN"/>
        </w:rPr>
        <w:t>*</w:t>
      </w:r>
    </w:p>
    <w:p w14:paraId="116B6A4E">
      <w:pPr>
        <w:pStyle w:val="11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cs="Times New Roman"/>
        </w:rPr>
        <w:t>Affiliations:</w:t>
      </w:r>
    </w:p>
    <w:p w14:paraId="6BC43E76">
      <w:pPr>
        <w:pStyle w:val="11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(1) </w:t>
      </w:r>
      <w:r>
        <w:rPr>
          <w:rFonts w:hint="default" w:ascii="Times New Roman" w:hAnsi="Times New Roman" w:cs="Times New Roman"/>
          <w:bCs/>
          <w:color w:val="auto"/>
          <w:kern w:val="0"/>
          <w:sz w:val="24"/>
        </w:rPr>
        <w:t>Key Laboratory of Basic Pharmacology of Ministry of Education and Joint International Research Laboratory of Ethnomedicine of Ministry of Education, Zunyi Medical University, Zunyi 563000, China.</w:t>
      </w:r>
    </w:p>
    <w:p w14:paraId="0C2C5352">
      <w:pPr>
        <w:pStyle w:val="11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  <w:bCs/>
          <w:color w:val="auto"/>
          <w:kern w:val="0"/>
          <w:sz w:val="24"/>
        </w:rPr>
      </w:pPr>
      <w:r>
        <w:rPr>
          <w:rFonts w:hint="default" w:ascii="Times New Roman" w:hAnsi="Times New Roman" w:cs="Times New Roman"/>
        </w:rPr>
        <w:t xml:space="preserve">(2) </w:t>
      </w:r>
      <w:r>
        <w:rPr>
          <w:rFonts w:hint="default" w:ascii="Times New Roman" w:hAnsi="Times New Roman" w:cs="Times New Roman"/>
          <w:bCs/>
          <w:color w:val="auto"/>
          <w:kern w:val="0"/>
          <w:sz w:val="24"/>
        </w:rPr>
        <w:t>Department of Clinical Pharmacology, College of Pharmacy, Dalian Medical University, Dalian 116044, China.</w:t>
      </w:r>
    </w:p>
    <w:p w14:paraId="0EF0723B">
      <w:pPr>
        <w:pStyle w:val="11"/>
        <w:keepNext w:val="0"/>
        <w:keepLines w:val="0"/>
        <w:widowControl/>
        <w:suppressLineNumbers w:val="0"/>
        <w:spacing w:line="360" w:lineRule="auto"/>
        <w:rPr>
          <w:rFonts w:hint="eastAsia" w:ascii="Times New Roman" w:hAnsi="Times New Roman" w:cs="Times New Roman" w:eastAsiaTheme="minorEastAsia"/>
          <w:bCs/>
          <w:color w:val="auto"/>
          <w:kern w:val="0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*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Corresponding author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1"/>
          <w:szCs w:val="21"/>
        </w:rPr>
        <w:t>, E-mail addresses: ylingdmpk1806@163.com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(</w:t>
      </w:r>
      <w:r>
        <w:rPr>
          <w:rFonts w:hint="default" w:ascii="Times New Roman" w:hAnsi="Times New Roman" w:eastAsia="楷体" w:cs="Times New Roman"/>
          <w:sz w:val="21"/>
          <w:szCs w:val="21"/>
        </w:rPr>
        <w:t>Ling</w:t>
      </w:r>
      <w:r>
        <w:rPr>
          <w:rFonts w:hint="eastAsia" w:ascii="Times New Roman" w:hAnsi="Times New Roman" w:eastAsia="楷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21"/>
          <w:szCs w:val="21"/>
        </w:rPr>
        <w:t>Yang</w:t>
      </w:r>
      <w:r>
        <w:rPr>
          <w:rFonts w:hint="default" w:ascii="Times New Roman" w:hAnsi="Times New Roman" w:eastAsia="宋体" w:cs="Times New Roman"/>
          <w:sz w:val="21"/>
          <w:szCs w:val="21"/>
        </w:rPr>
        <w:t>)</w:t>
      </w:r>
    </w:p>
    <w:p w14:paraId="4DA51490">
      <w:pPr>
        <w:pStyle w:val="11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cs="Times New Roman"/>
        </w:rPr>
        <w:t>Abstract:</w:t>
      </w:r>
    </w:p>
    <w:p w14:paraId="24D2FBA8">
      <w:pPr>
        <w:widowControl/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Style w:val="14"/>
          <w:rFonts w:hint="default" w:ascii="Times New Roman" w:hAnsi="Times New Roman" w:cs="Times New Roman"/>
          <w:i/>
          <w:iCs/>
          <w:color w:val="auto"/>
          <w:sz w:val="24"/>
        </w:rPr>
        <w:t>Background</w:t>
      </w:r>
      <w:r>
        <w:rPr>
          <w:rFonts w:hint="default" w:ascii="Times New Roman" w:hAnsi="Times New Roman" w:cs="Times New Roman"/>
          <w:i/>
          <w:iCs/>
          <w:color w:val="auto"/>
          <w:sz w:val="24"/>
        </w:rPr>
        <w:t xml:space="preserve">: </w:t>
      </w:r>
      <w:r>
        <w:rPr>
          <w:rFonts w:hint="default" w:ascii="Times New Roman" w:hAnsi="Times New Roman" w:cs="Times New Roman"/>
          <w:color w:val="auto"/>
          <w:sz w:val="24"/>
        </w:rPr>
        <w:t xml:space="preserve">Accurate prediction of </w:t>
      </w:r>
      <w:r>
        <w:rPr>
          <w:rFonts w:hint="default" w:ascii="Times New Roman" w:hAnsi="Times New Roman" w:cs="Times New Roman"/>
          <w:b w:val="0"/>
          <w:color w:val="auto"/>
          <w:kern w:val="0"/>
          <w:sz w:val="24"/>
        </w:rPr>
        <w:t>metabolic</w:t>
      </w:r>
      <w:r>
        <w:rPr>
          <w:rFonts w:hint="default" w:ascii="Times New Roman" w:hAnsi="Times New Roman" w:cs="Times New Roman"/>
          <w:color w:val="auto"/>
          <w:sz w:val="24"/>
        </w:rPr>
        <w:t xml:space="preserve"> drug-drug interactions (DDIs) is crucial for clinical medication. However, current predominant prediction models are limited. This study was designed to address these limitations by developing a new predictive model that is both accurate and readily applicable. </w:t>
      </w:r>
    </w:p>
    <w:p w14:paraId="4B70971F">
      <w:pPr>
        <w:widowControl/>
        <w:spacing w:line="360" w:lineRule="auto"/>
        <w:rPr>
          <w:rFonts w:hint="default" w:ascii="Times New Roman" w:hAnsi="Times New Roman" w:eastAsia="楷体" w:cs="Times New Roman"/>
          <w:bCs/>
          <w:color w:val="auto"/>
          <w:kern w:val="0"/>
          <w:sz w:val="24"/>
        </w:rPr>
      </w:pPr>
      <w:r>
        <w:rPr>
          <w:rStyle w:val="14"/>
          <w:rFonts w:hint="default" w:ascii="Times New Roman" w:hAnsi="Times New Roman" w:cs="Times New Roman"/>
          <w:i/>
          <w:iCs/>
          <w:color w:val="auto"/>
          <w:sz w:val="24"/>
        </w:rPr>
        <w:t xml:space="preserve">Methods: </w:t>
      </w:r>
      <w:r>
        <w:rPr>
          <w:rFonts w:hint="default" w:ascii="Times New Roman" w:hAnsi="Times New Roman" w:cs="Times New Roman"/>
          <w:color w:val="auto"/>
          <w:sz w:val="24"/>
        </w:rPr>
        <w:t xml:space="preserve">A simplified predictive model for 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metabolic</w:t>
      </w:r>
      <w:r>
        <w:rPr>
          <w:rFonts w:hint="default" w:ascii="Times New Roman" w:hAnsi="Times New Roman" w:cs="Times New Roman"/>
          <w:color w:val="auto"/>
          <w:sz w:val="24"/>
        </w:rPr>
        <w:t xml:space="preserve"> DDIs was developed based on enzyme kinetics, incorporating inhibitor concentration, substrate concentration, and enzyme abundance, with effects quantified by the significant metabolic inhibition duration (</w:t>
      </w:r>
      <w:r>
        <w:rPr>
          <w:rFonts w:hint="default" w:ascii="Times New Roman" w:hAnsi="Times New Roman" w:cs="Times New Roman"/>
          <w:i/>
          <w:iCs/>
          <w:color w:val="auto"/>
          <w:sz w:val="24"/>
        </w:rPr>
        <w:t>t</w:t>
      </w:r>
      <w:r>
        <w:rPr>
          <w:rFonts w:hint="default" w:ascii="Times New Roman" w:hAnsi="Times New Roman" w:cs="Times New Roman"/>
          <w:i/>
          <w:iCs/>
          <w:color w:val="auto"/>
          <w:sz w:val="24"/>
          <w:vertAlign w:val="subscript"/>
        </w:rPr>
        <w:t>i</w:t>
      </w:r>
      <w:r>
        <w:rPr>
          <w:rFonts w:hint="default" w:ascii="Times New Roman" w:hAnsi="Times New Roman" w:cs="Times New Roman"/>
          <w:color w:val="auto"/>
          <w:sz w:val="24"/>
        </w:rPr>
        <w:t>). The model was validated using an integrated rat system (</w:t>
      </w:r>
      <w:r>
        <w:rPr>
          <w:rFonts w:hint="default" w:ascii="Times New Roman" w:hAnsi="Times New Roman" w:cs="Times New Roman"/>
          <w:i/>
          <w:iCs/>
          <w:color w:val="auto"/>
          <w:sz w:val="24"/>
        </w:rPr>
        <w:t>in vitro</w:t>
      </w:r>
      <w:r>
        <w:rPr>
          <w:rFonts w:hint="default" w:ascii="Times New Roman" w:hAnsi="Times New Roman" w:cs="Times New Roman"/>
          <w:color w:val="auto"/>
          <w:sz w:val="24"/>
        </w:rPr>
        <w:t xml:space="preserve"> microsomes, </w:t>
      </w:r>
      <w:r>
        <w:rPr>
          <w:rFonts w:hint="default" w:ascii="Times New Roman" w:hAnsi="Times New Roman" w:cs="Times New Roman"/>
          <w:i/>
          <w:iCs/>
          <w:color w:val="auto"/>
          <w:sz w:val="24"/>
        </w:rPr>
        <w:t>in situ</w:t>
      </w:r>
      <w:r>
        <w:rPr>
          <w:rFonts w:hint="default" w:ascii="Times New Roman" w:hAnsi="Times New Roman" w:cs="Times New Roman"/>
          <w:color w:val="auto"/>
          <w:sz w:val="24"/>
        </w:rPr>
        <w:t xml:space="preserve"> liver perfusion, </w:t>
      </w:r>
      <w:r>
        <w:rPr>
          <w:rFonts w:hint="default" w:ascii="Times New Roman" w:hAnsi="Times New Roman" w:cs="Times New Roman"/>
          <w:i/>
          <w:iCs/>
          <w:color w:val="auto"/>
          <w:sz w:val="24"/>
        </w:rPr>
        <w:t>in vivo</w:t>
      </w:r>
      <w:r>
        <w:rPr>
          <w:rFonts w:hint="default" w:ascii="Times New Roman" w:hAnsi="Times New Roman" w:cs="Times New Roman"/>
          <w:color w:val="auto"/>
          <w:sz w:val="24"/>
        </w:rPr>
        <w:t xml:space="preserve"> CCl</w:t>
      </w:r>
      <w:r>
        <w:rPr>
          <w:rFonts w:hint="default" w:ascii="Times New Roman" w:hAnsi="Times New Roman" w:cs="Times New Roman"/>
          <w:color w:val="auto"/>
          <w:sz w:val="24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4"/>
        </w:rPr>
        <w:t>-induced liver injury) and then applied to predict and compare DDI risk from midazolam-clarithromycin co-administration between elderly and young adults.</w:t>
      </w:r>
    </w:p>
    <w:p w14:paraId="71BBC3B6">
      <w:pPr>
        <w:widowControl/>
        <w:spacing w:line="360" w:lineRule="auto"/>
        <w:rPr>
          <w:rFonts w:hint="default" w:ascii="Times New Roman" w:hAnsi="Times New Roman" w:eastAsia="楷体" w:cs="Times New Roman"/>
          <w:bCs/>
          <w:color w:val="auto"/>
          <w:kern w:val="0"/>
          <w:sz w:val="24"/>
        </w:rPr>
      </w:pPr>
      <w:r>
        <w:rPr>
          <w:rFonts w:hint="default" w:ascii="Times New Roman" w:hAnsi="Times New Roman" w:eastAsia="楷体" w:cs="Times New Roman"/>
          <w:b/>
          <w:bCs/>
          <w:i/>
          <w:iCs/>
          <w:color w:val="auto"/>
          <w:kern w:val="0"/>
          <w:sz w:val="24"/>
        </w:rPr>
        <w:t>Results: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24"/>
        </w:rPr>
        <w:t xml:space="preserve"> </w:t>
      </w:r>
      <w:r>
        <w:rPr>
          <w:rFonts w:hint="default" w:ascii="Times New Roman" w:hAnsi="Times New Roman" w:eastAsia="楷体" w:cs="Times New Roman"/>
          <w:bCs/>
          <w:color w:val="auto"/>
          <w:kern w:val="0"/>
          <w:sz w:val="24"/>
        </w:rPr>
        <w:t xml:space="preserve">The model revealed a substrate concentration threshold (0.1 </w:t>
      </w:r>
      <w:r>
        <w:rPr>
          <w:rFonts w:hint="default" w:ascii="Times New Roman" w:hAnsi="Times New Roman" w:eastAsia="楷体" w:cs="Times New Roman"/>
          <w:bCs/>
          <w:i/>
          <w:iCs/>
          <w:color w:val="auto"/>
          <w:kern w:val="0"/>
          <w:sz w:val="24"/>
        </w:rPr>
        <w:t>K</w:t>
      </w:r>
      <w:r>
        <w:rPr>
          <w:rFonts w:hint="default" w:ascii="Times New Roman" w:hAnsi="Times New Roman" w:eastAsia="楷体" w:cs="Times New Roman"/>
          <w:bCs/>
          <w:i/>
          <w:iCs/>
          <w:color w:val="auto"/>
          <w:kern w:val="0"/>
          <w:sz w:val="24"/>
          <w:vertAlign w:val="subscript"/>
        </w:rPr>
        <w:t>m</w:t>
      </w:r>
      <w:r>
        <w:rPr>
          <w:rFonts w:hint="default" w:ascii="Times New Roman" w:hAnsi="Times New Roman" w:eastAsia="楷体" w:cs="Times New Roman"/>
          <w:bCs/>
          <w:color w:val="auto"/>
          <w:kern w:val="0"/>
          <w:sz w:val="24"/>
        </w:rPr>
        <w:t xml:space="preserve">), above which </w:t>
      </w:r>
      <w:r>
        <w:rPr>
          <w:rFonts w:hint="default" w:ascii="Times New Roman" w:hAnsi="Times New Roman" w:cs="Times New Roman"/>
          <w:bCs/>
          <w:i/>
          <w:iCs/>
          <w:color w:val="auto"/>
          <w:sz w:val="24"/>
        </w:rPr>
        <w:t>t</w:t>
      </w:r>
      <w:r>
        <w:rPr>
          <w:rFonts w:hint="default" w:ascii="Times New Roman" w:hAnsi="Times New Roman" w:cs="Times New Roman"/>
          <w:bCs/>
          <w:i/>
          <w:iCs/>
          <w:color w:val="auto"/>
          <w:sz w:val="24"/>
          <w:vertAlign w:val="subscript"/>
        </w:rPr>
        <w:t>ᵢ</w:t>
      </w:r>
      <w:r>
        <w:rPr>
          <w:rFonts w:hint="default" w:ascii="Times New Roman" w:hAnsi="Times New Roman" w:eastAsia="楷体" w:cs="Times New Roman"/>
          <w:bCs/>
          <w:color w:val="auto"/>
          <w:kern w:val="0"/>
          <w:sz w:val="24"/>
        </w:rPr>
        <w:t xml:space="preserve"> rose sharply with concentration and below which impact was negligible; enzyme abundance robustly regulated</w:t>
      </w:r>
      <w:r>
        <w:rPr>
          <w:rFonts w:hint="default" w:ascii="Times New Roman" w:hAnsi="Times New Roman" w:cs="Times New Roman"/>
          <w:bCs/>
          <w:i/>
          <w:iCs/>
          <w:color w:val="auto"/>
          <w:sz w:val="24"/>
        </w:rPr>
        <w:t xml:space="preserve"> t</w:t>
      </w:r>
      <w:r>
        <w:rPr>
          <w:rFonts w:hint="default" w:ascii="Times New Roman" w:hAnsi="Times New Roman" w:cs="Times New Roman"/>
          <w:bCs/>
          <w:i/>
          <w:iCs/>
          <w:color w:val="auto"/>
          <w:sz w:val="24"/>
          <w:vertAlign w:val="subscript"/>
        </w:rPr>
        <w:t>ᵢ</w:t>
      </w:r>
      <w:r>
        <w:rPr>
          <w:rFonts w:hint="default" w:ascii="Times New Roman" w:hAnsi="Times New Roman" w:eastAsia="楷体" w:cs="Times New Roman"/>
          <w:bCs/>
          <w:color w:val="auto"/>
          <w:kern w:val="0"/>
          <w:sz w:val="24"/>
        </w:rPr>
        <w:t xml:space="preserve"> across all conditions. Consistently, </w:t>
      </w:r>
      <w:r>
        <w:rPr>
          <w:rFonts w:hint="default" w:ascii="Times New Roman" w:hAnsi="Times New Roman" w:eastAsia="楷体" w:cs="Times New Roman"/>
          <w:bCs/>
          <w:i/>
          <w:iCs/>
          <w:color w:val="auto"/>
          <w:kern w:val="0"/>
          <w:sz w:val="24"/>
        </w:rPr>
        <w:t>in vitro</w:t>
      </w:r>
      <w:r>
        <w:rPr>
          <w:rFonts w:hint="default" w:ascii="Times New Roman" w:hAnsi="Times New Roman" w:eastAsia="楷体" w:cs="Times New Roman"/>
          <w:bCs/>
          <w:color w:val="auto"/>
          <w:kern w:val="0"/>
          <w:sz w:val="24"/>
        </w:rPr>
        <w:t xml:space="preserve"> studies confirmed that increasing enzyme content could attenuate or abolish DDIs, exerting a stronger effect than substrate concentration. Furthermore, </w:t>
      </w:r>
      <w:r>
        <w:rPr>
          <w:rFonts w:hint="default" w:ascii="Times New Roman" w:hAnsi="Times New Roman" w:eastAsia="楷体" w:cs="Times New Roman"/>
          <w:bCs/>
          <w:i/>
          <w:iCs/>
          <w:color w:val="auto"/>
          <w:kern w:val="0"/>
          <w:sz w:val="24"/>
        </w:rPr>
        <w:t>in situ</w:t>
      </w:r>
      <w:r>
        <w:rPr>
          <w:rFonts w:hint="default" w:ascii="Times New Roman" w:hAnsi="Times New Roman" w:eastAsia="楷体" w:cs="Times New Roman"/>
          <w:bCs/>
          <w:color w:val="auto"/>
          <w:kern w:val="0"/>
          <w:sz w:val="24"/>
        </w:rPr>
        <w:t xml:space="preserve"> perfusion experiments showed that DDI prolongation occurred only with high substrate concentrations, and </w:t>
      </w:r>
      <w:r>
        <w:rPr>
          <w:rFonts w:hint="default" w:ascii="Times New Roman" w:hAnsi="Times New Roman" w:eastAsia="楷体" w:cs="Times New Roman"/>
          <w:bCs/>
          <w:i/>
          <w:iCs/>
          <w:color w:val="auto"/>
          <w:kern w:val="0"/>
          <w:sz w:val="24"/>
        </w:rPr>
        <w:t>in vivo</w:t>
      </w:r>
      <w:r>
        <w:rPr>
          <w:rFonts w:hint="default" w:ascii="Times New Roman" w:hAnsi="Times New Roman" w:eastAsia="楷体" w:cs="Times New Roman"/>
          <w:bCs/>
          <w:color w:val="auto"/>
          <w:kern w:val="0"/>
          <w:sz w:val="24"/>
        </w:rPr>
        <w:t xml:space="preserve"> studies in enzyme-deficient (CCl</w:t>
      </w:r>
      <w:r>
        <w:rPr>
          <w:rFonts w:hint="default" w:ascii="Times New Roman" w:hAnsi="Times New Roman" w:eastAsia="楷体" w:cs="Times New Roman"/>
          <w:bCs/>
          <w:color w:val="auto"/>
          <w:kern w:val="0"/>
          <w:sz w:val="24"/>
          <w:vertAlign w:val="subscript"/>
        </w:rPr>
        <w:t>4</w:t>
      </w:r>
      <w:r>
        <w:rPr>
          <w:rFonts w:hint="default" w:ascii="Times New Roman" w:hAnsi="Times New Roman" w:eastAsia="楷体" w:cs="Times New Roman"/>
          <w:bCs/>
          <w:color w:val="auto"/>
          <w:kern w:val="0"/>
          <w:sz w:val="24"/>
        </w:rPr>
        <w:t>-treated) rats confirmed heightened DDI sensitivity. Finally, the model accurately predicted the clinically observed DDI risk for midazolam-clarithromycin co-administration across age groups, validating its reliability.</w:t>
      </w:r>
    </w:p>
    <w:p w14:paraId="2FE303A2">
      <w:pPr>
        <w:widowControl/>
        <w:spacing w:line="360" w:lineRule="auto"/>
        <w:rPr>
          <w:rFonts w:hint="default" w:ascii="Times New Roman" w:hAnsi="Times New Roman" w:eastAsia="楷体" w:cs="Times New Roman"/>
          <w:color w:val="auto"/>
          <w:kern w:val="0"/>
          <w:sz w:val="24"/>
        </w:rPr>
      </w:pPr>
      <w:r>
        <w:rPr>
          <w:rFonts w:hint="default" w:ascii="Times New Roman" w:hAnsi="Times New Roman" w:cs="Times New Roman"/>
          <w:b/>
          <w:i/>
          <w:iCs/>
          <w:color w:val="auto"/>
          <w:kern w:val="0"/>
          <w:sz w:val="24"/>
        </w:rPr>
        <w:t xml:space="preserve">Conclusion: </w:t>
      </w:r>
      <w:r>
        <w:rPr>
          <w:rFonts w:hint="default" w:ascii="Times New Roman" w:hAnsi="Times New Roman" w:cs="Times New Roman"/>
          <w:bCs/>
          <w:color w:val="auto"/>
          <w:kern w:val="0"/>
          <w:sz w:val="24"/>
        </w:rPr>
        <w:t xml:space="preserve">A simplified enzyme kinetics model was developed 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</w:rPr>
        <w:t xml:space="preserve">and validated </w:t>
      </w:r>
      <w:r>
        <w:rPr>
          <w:rFonts w:hint="default" w:ascii="Times New Roman" w:hAnsi="Times New Roman" w:cs="Times New Roman"/>
          <w:bCs/>
          <w:color w:val="auto"/>
          <w:kern w:val="0"/>
          <w:sz w:val="24"/>
        </w:rPr>
        <w:t xml:space="preserve">for predicting metabolic DDIs. 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24"/>
        </w:rPr>
        <w:t>A key mechanistic insight is that DDI risk is co-determined by substrate exposure, inhibitor exposure, and the patient's intrinsic enzyme capacity.</w:t>
      </w:r>
    </w:p>
    <w:p w14:paraId="2413FD3C">
      <w:pPr>
        <w:pStyle w:val="11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</w:rPr>
      </w:pPr>
      <w:r>
        <w:rPr>
          <w:rStyle w:val="14"/>
          <w:rFonts w:hint="default" w:ascii="Times New Roman" w:hAnsi="Times New Roman" w:cs="Times New Roman"/>
        </w:rPr>
        <w:t>Acknowledgments:</w:t>
      </w:r>
    </w:p>
    <w:p w14:paraId="77536DFF">
      <w:pPr>
        <w:pStyle w:val="11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 xml:space="preserve">Supported by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"/>
        </w:rPr>
        <w:t>the National Natural Science Foundation of China</w:t>
      </w: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 w:bidi="ar"/>
        </w:rPr>
        <w:t xml:space="preserve">, </w:t>
      </w:r>
      <w:r>
        <w:rPr>
          <w:rFonts w:hint="default" w:ascii="Times New Roman" w:hAnsi="Times New Roman" w:cs="Times New Roman"/>
        </w:rPr>
        <w:t xml:space="preserve">grant No. </w:t>
      </w:r>
      <w:r>
        <w:rPr>
          <w:rFonts w:hint="default" w:ascii="Times New Roman" w:hAnsi="Times New Roman" w:cs="Times New Roman"/>
          <w:color w:val="auto"/>
          <w:kern w:val="0"/>
          <w:sz w:val="24"/>
          <w:lang w:bidi="ar"/>
        </w:rPr>
        <w:t>8227131503.</w:t>
      </w:r>
    </w:p>
    <w:p w14:paraId="05E4E699">
      <w:pPr>
        <w:pStyle w:val="11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15590"/>
    <w:multiLevelType w:val="multilevel"/>
    <w:tmpl w:val="DFE1559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08F45F2"/>
    <w:rsid w:val="038F3E57"/>
    <w:rsid w:val="045736EB"/>
    <w:rsid w:val="17641D15"/>
    <w:rsid w:val="1B3A07DB"/>
    <w:rsid w:val="208F45F2"/>
    <w:rsid w:val="2155600F"/>
    <w:rsid w:val="267A3810"/>
    <w:rsid w:val="4ECE11BF"/>
    <w:rsid w:val="59A7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rFonts w:ascii="Times New Roman" w:hAnsi="Times New Roman"/>
      <w:b/>
      <w:kern w:val="44"/>
      <w:sz w:val="2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asciiTheme="minorAscii" w:hAnsiTheme="minorAscii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标题 2 Char"/>
    <w:link w:val="3"/>
    <w:qFormat/>
    <w:uiPriority w:val="0"/>
    <w:rPr>
      <w:rFonts w:ascii="Times New Roman" w:hAnsi="Times New Roman"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1102</Words>
  <Characters>3384</Characters>
  <Lines>0</Lines>
  <Paragraphs>0</Paragraphs>
  <TotalTime>0</TotalTime>
  <ScaleCrop>false</ScaleCrop>
  <LinksUpToDate>false</LinksUpToDate>
  <CharactersWithSpaces>3760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2026-01-20T06:24:00Z</dcterms:created>
  <dc:creator>Hucong</dc:creator>
  <cp:lastModifiedBy>SWAG</cp:lastModifiedBy>
  <dcterms:modified xsi:type="dcterms:W3CDTF">2026-02-10T06:56:34Z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F9C859FBFB0746EFA3298B0E9D292932_13</vt:lpwstr>
  </property>
  <property fmtid="{D5CDD505-2E9C-101B-9397-08002B2CF9AE}" pid="4" name="KSOTemplateDocerSaveRecord">
    <vt:lpwstr>eyJoZGlkIjoiZjFjM2QyYjA1ZmY2ZjA0MWQxZDljNTFhNjk1NDhhMWQiLCJ1c2VySWQiOiI1OTA4MzY5MjQifQ==</vt:lpwstr>
  </property>
</Properties>
</file>