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712D1">
      <w:pPr>
        <w:jc w:val="both"/>
        <w:rPr>
          <w:rFonts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Title</w:t>
      </w:r>
      <w:r>
        <w:rPr>
          <w:rFonts w:ascii="Times New Roman" w:hAnsi="Times New Roman" w:eastAsia="宋体" w:cs="Times New Roman"/>
          <w:b/>
          <w:bCs/>
          <w:sz w:val="21"/>
          <w:szCs w:val="21"/>
        </w:rPr>
        <w:t>：</w:t>
      </w:r>
    </w:p>
    <w:p w14:paraId="140D3D66">
      <w:pPr>
        <w:jc w:val="both"/>
        <w:rPr>
          <w:rFonts w:hint="default" w:ascii="Times New Roman" w:hAnsi="Times New Roman" w:cs="Times New Roman"/>
          <w:sz w:val="21"/>
          <w:szCs w:val="21"/>
        </w:rPr>
      </w:pPr>
      <w:r>
        <w:rPr>
          <w:rFonts w:hint="default" w:ascii="Times New Roman" w:hAnsi="Times New Roman" w:cs="Times New Roman"/>
          <w:b/>
          <w:bCs/>
          <w:sz w:val="21"/>
          <w:szCs w:val="21"/>
        </w:rPr>
        <w:t xml:space="preserve">Development of a </w:t>
      </w:r>
      <w:r>
        <w:rPr>
          <w:rFonts w:hint="eastAsia" w:ascii="Times New Roman" w:hAnsi="Times New Roman" w:cs="Times New Roman"/>
          <w:b/>
          <w:bCs/>
          <w:sz w:val="21"/>
          <w:szCs w:val="21"/>
          <w:lang w:val="en-US" w:eastAsia="zh-CN"/>
        </w:rPr>
        <w:t>n</w:t>
      </w:r>
      <w:r>
        <w:rPr>
          <w:rFonts w:hint="default" w:ascii="Times New Roman" w:hAnsi="Times New Roman" w:cs="Times New Roman"/>
          <w:b/>
          <w:bCs/>
          <w:sz w:val="21"/>
          <w:szCs w:val="21"/>
        </w:rPr>
        <w:t xml:space="preserve">ovel </w:t>
      </w:r>
      <w:r>
        <w:rPr>
          <w:rFonts w:hint="eastAsia" w:ascii="Times New Roman" w:hAnsi="Times New Roman" w:cs="Times New Roman"/>
          <w:b/>
          <w:bCs/>
          <w:sz w:val="21"/>
          <w:szCs w:val="21"/>
          <w:lang w:val="en-US" w:eastAsia="zh-CN"/>
        </w:rPr>
        <w:t>s</w:t>
      </w:r>
      <w:r>
        <w:rPr>
          <w:rFonts w:hint="default" w:ascii="Times New Roman" w:hAnsi="Times New Roman" w:cs="Times New Roman"/>
          <w:b/>
          <w:bCs/>
          <w:sz w:val="21"/>
          <w:szCs w:val="21"/>
        </w:rPr>
        <w:t xml:space="preserve">elective </w:t>
      </w:r>
      <w:r>
        <w:rPr>
          <w:rFonts w:hint="eastAsia" w:ascii="Times New Roman" w:hAnsi="Times New Roman" w:cs="Times New Roman"/>
          <w:b/>
          <w:bCs/>
          <w:sz w:val="21"/>
          <w:szCs w:val="21"/>
          <w:lang w:val="en-US" w:eastAsia="zh-CN"/>
        </w:rPr>
        <w:t>f</w:t>
      </w:r>
      <w:r>
        <w:rPr>
          <w:rFonts w:hint="default" w:ascii="Times New Roman" w:hAnsi="Times New Roman" w:cs="Times New Roman"/>
          <w:b/>
          <w:bCs/>
          <w:sz w:val="21"/>
          <w:szCs w:val="21"/>
        </w:rPr>
        <w:t xml:space="preserve">luorescent </w:t>
      </w:r>
      <w:r>
        <w:rPr>
          <w:rFonts w:hint="eastAsia" w:ascii="Times New Roman" w:hAnsi="Times New Roman" w:cs="Times New Roman"/>
          <w:b/>
          <w:bCs/>
          <w:sz w:val="21"/>
          <w:szCs w:val="21"/>
          <w:lang w:val="en-US" w:eastAsia="zh-CN"/>
        </w:rPr>
        <w:t>s</w:t>
      </w:r>
      <w:r>
        <w:rPr>
          <w:rFonts w:hint="default" w:ascii="Times New Roman" w:hAnsi="Times New Roman" w:cs="Times New Roman"/>
          <w:b/>
          <w:bCs/>
          <w:sz w:val="21"/>
          <w:szCs w:val="21"/>
        </w:rPr>
        <w:t xml:space="preserve">ubstrate for CYP1A2 </w:t>
      </w:r>
      <w:r>
        <w:rPr>
          <w:rFonts w:hint="eastAsia" w:ascii="Times New Roman" w:hAnsi="Times New Roman" w:cs="Times New Roman"/>
          <w:b/>
          <w:bCs/>
          <w:sz w:val="21"/>
          <w:szCs w:val="21"/>
          <w:lang w:val="en-US" w:eastAsia="zh-CN"/>
        </w:rPr>
        <w:t>b</w:t>
      </w:r>
      <w:r>
        <w:rPr>
          <w:rFonts w:hint="default" w:ascii="Times New Roman" w:hAnsi="Times New Roman" w:cs="Times New Roman"/>
          <w:b/>
          <w:bCs/>
          <w:sz w:val="21"/>
          <w:szCs w:val="21"/>
        </w:rPr>
        <w:t xml:space="preserve">ased on sulfoxidation </w:t>
      </w:r>
      <w:r>
        <w:rPr>
          <w:rFonts w:hint="eastAsia" w:ascii="Times New Roman" w:hAnsi="Times New Roman" w:cs="Times New Roman"/>
          <w:b/>
          <w:bCs/>
          <w:sz w:val="21"/>
          <w:szCs w:val="21"/>
          <w:lang w:val="en-US" w:eastAsia="zh-CN"/>
        </w:rPr>
        <w:t>c</w:t>
      </w:r>
      <w:r>
        <w:rPr>
          <w:rFonts w:hint="default" w:ascii="Times New Roman" w:hAnsi="Times New Roman" w:cs="Times New Roman"/>
          <w:b/>
          <w:bCs/>
          <w:sz w:val="21"/>
          <w:szCs w:val="21"/>
        </w:rPr>
        <w:t>haracteristics</w:t>
      </w:r>
    </w:p>
    <w:p w14:paraId="381EBD22">
      <w:pPr>
        <w:jc w:val="both"/>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Author: </w:t>
      </w:r>
    </w:p>
    <w:p w14:paraId="2637A321">
      <w:pPr>
        <w:jc w:val="both"/>
        <w:rPr>
          <w:rFonts w:hint="eastAsia" w:ascii="Times New Roman" w:hAnsi="Times New Roman" w:cs="Times New Roman"/>
          <w:b w:val="0"/>
          <w:i w:val="0"/>
          <w:color w:val="auto"/>
          <w:sz w:val="21"/>
          <w:szCs w:val="21"/>
          <w:lang w:val="en-US" w:eastAsia="zh-CN"/>
        </w:rPr>
      </w:pPr>
      <w:r>
        <w:rPr>
          <w:rFonts w:hint="default" w:ascii="Times New Roman" w:hAnsi="Times New Roman" w:cs="Times New Roman"/>
          <w:b w:val="0"/>
          <w:i w:val="0"/>
          <w:color w:val="auto"/>
          <w:sz w:val="21"/>
          <w:szCs w:val="21"/>
        </w:rPr>
        <w:t>Shiqing Li</w:t>
      </w:r>
      <w:r>
        <w:rPr>
          <w:rFonts w:hint="eastAsia" w:ascii="Times New Roman" w:hAnsi="Times New Roman" w:cs="Times New Roman"/>
          <w:b w:val="0"/>
          <w:i w:val="0"/>
          <w:color w:val="auto"/>
          <w:sz w:val="21"/>
          <w:szCs w:val="21"/>
          <w:lang w:val="en-US" w:eastAsia="zh-CN"/>
        </w:rPr>
        <w:t xml:space="preserve"> (1)</w:t>
      </w:r>
      <w:r>
        <w:rPr>
          <w:rFonts w:hint="default" w:ascii="Times New Roman" w:hAnsi="Times New Roman" w:cs="Times New Roman"/>
          <w:b w:val="0"/>
          <w:i w:val="0"/>
          <w:color w:val="auto"/>
          <w:sz w:val="21"/>
          <w:szCs w:val="21"/>
        </w:rPr>
        <w:t xml:space="preserve">, </w:t>
      </w:r>
      <w:r>
        <w:rPr>
          <w:rFonts w:hint="eastAsia" w:ascii="Times New Roman" w:hAnsi="Times New Roman" w:cs="Times New Roman"/>
          <w:b w:val="0"/>
          <w:i w:val="0"/>
          <w:color w:val="auto"/>
          <w:sz w:val="21"/>
          <w:szCs w:val="21"/>
          <w:lang w:val="en-US" w:eastAsia="zh-CN"/>
        </w:rPr>
        <w:t>Wenchao Wu (2), Liwei Zou*(2)</w:t>
      </w:r>
      <w:r>
        <w:rPr>
          <w:rFonts w:hint="default" w:ascii="Times New Roman" w:hAnsi="Times New Roman" w:cs="Times New Roman"/>
          <w:b w:val="0"/>
          <w:i w:val="0"/>
          <w:color w:val="auto"/>
          <w:sz w:val="21"/>
          <w:szCs w:val="21"/>
        </w:rPr>
        <w:t>, Ling Yang</w:t>
      </w:r>
      <w:r>
        <w:rPr>
          <w:rFonts w:hint="eastAsia" w:ascii="Times New Roman" w:hAnsi="Times New Roman" w:cs="Times New Roman"/>
          <w:b w:val="0"/>
          <w:i w:val="0"/>
          <w:color w:val="auto"/>
          <w:sz w:val="21"/>
          <w:szCs w:val="21"/>
          <w:lang w:val="en-US" w:eastAsia="zh-CN"/>
        </w:rPr>
        <w:t>*(1)</w:t>
      </w:r>
    </w:p>
    <w:p w14:paraId="3A47656B">
      <w:pPr>
        <w:jc w:val="both"/>
        <w:rPr>
          <w:rFonts w:hint="default" w:ascii="Times New Roman" w:hAnsi="Times New Roman" w:cs="Times New Roman"/>
          <w:b w:val="0"/>
          <w:i w:val="0"/>
          <w:color w:val="auto"/>
          <w:sz w:val="21"/>
          <w:szCs w:val="21"/>
          <w:lang w:val="en-US" w:eastAsia="zh-CN"/>
        </w:rPr>
      </w:pPr>
      <w:r>
        <w:rPr>
          <w:rFonts w:hint="default" w:ascii="Times New Roman" w:hAnsi="Times New Roman" w:cs="Times New Roman"/>
          <w:b w:val="0"/>
          <w:i w:val="0"/>
          <w:color w:val="auto"/>
          <w:sz w:val="21"/>
          <w:szCs w:val="21"/>
          <w:lang w:val="en-US" w:eastAsia="zh-CN"/>
        </w:rPr>
        <w:t>*Corresponding author</w:t>
      </w:r>
    </w:p>
    <w:p w14:paraId="56CE33E5">
      <w:pPr>
        <w:spacing w:line="360" w:lineRule="auto"/>
        <w:rPr>
          <w:rFonts w:hint="eastAsia"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Affiliations</w:t>
      </w:r>
      <w:r>
        <w:rPr>
          <w:rFonts w:hint="eastAsia" w:ascii="Times New Roman" w:hAnsi="Times New Roman" w:eastAsia="宋体" w:cs="Times New Roman"/>
          <w:b/>
          <w:bCs/>
          <w:sz w:val="21"/>
          <w:szCs w:val="21"/>
          <w:lang w:val="en-US" w:eastAsia="zh-CN"/>
        </w:rPr>
        <w:t xml:space="preserve">: </w:t>
      </w:r>
      <w:bookmarkStart w:id="0" w:name="_GoBack"/>
      <w:bookmarkEnd w:id="0"/>
    </w:p>
    <w:p w14:paraId="6163A85F">
      <w:pPr>
        <w:numPr>
          <w:ilvl w:val="0"/>
          <w:numId w:val="1"/>
        </w:numPr>
        <w:spacing w:line="360" w:lineRule="auto"/>
        <w:rPr>
          <w:rFonts w:ascii="Times New Roman" w:hAnsi="Times New Roman" w:eastAsia="宋体" w:cs="Times New Roman"/>
          <w:b/>
          <w:bCs/>
          <w:sz w:val="21"/>
          <w:szCs w:val="21"/>
        </w:rPr>
      </w:pPr>
      <w:r>
        <w:rPr>
          <w:rFonts w:hint="default" w:ascii="Times New Roman" w:hAnsi="Times New Roman" w:eastAsia="宋体" w:cs="Times New Roman"/>
          <w:sz w:val="21"/>
          <w:szCs w:val="21"/>
        </w:rPr>
        <w:t>Zunyi Medical University, Key Laboratory of Basic Pharmacology of the Ministry of Education and Joint International Research Laboratory of Ethnomedicine of the Ministry of Education, Zunyi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563000, China</w:t>
      </w:r>
    </w:p>
    <w:p w14:paraId="54048CBA">
      <w:pPr>
        <w:numPr>
          <w:ilvl w:val="0"/>
          <w:numId w:val="1"/>
        </w:numPr>
        <w:spacing w:line="360" w:lineRule="auto"/>
        <w:ind w:left="0" w:leftChars="0" w:firstLine="0" w:firstLineChars="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Shanghai University of Traditional Chinese Medicine, Shanghai Frontiers Science Center of TCM Chemical Biology, Institute of Interdisciplinary Integrative Medicine Research, Shanghai, 201203, China</w:t>
      </w:r>
    </w:p>
    <w:p w14:paraId="2979F285">
      <w:pPr>
        <w:numPr>
          <w:ilvl w:val="0"/>
          <w:numId w:val="0"/>
        </w:numPr>
        <w:spacing w:line="360" w:lineRule="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Abstract:</w:t>
      </w:r>
    </w:p>
    <w:p w14:paraId="65851B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eastAsia" w:ascii="Times New Roman" w:hAnsi="Times New Roman" w:eastAsia="宋体" w:cs="Times New Roman"/>
          <w:b/>
          <w:bCs/>
          <w:sz w:val="21"/>
          <w:szCs w:val="21"/>
          <w:lang w:val="en-US" w:eastAsia="zh-CN"/>
        </w:rPr>
        <w:t>Background</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 xml:space="preserve"> Cytochrome P450 1A2 (CYP1A2) is a critical isozyme involved in drug metabolism and drug-drug interactions. Developing functional probes that combine high selectivity</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and suitability for both cell imaging and high-throughput screening (HTS) is crucial for accurately assessing CYP1A2 activity and inhibitor discovery.</w:t>
      </w:r>
    </w:p>
    <w:p w14:paraId="065C07D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eastAsia" w:ascii="Times New Roman" w:hAnsi="Times New Roman" w:eastAsia="宋体" w:cs="Times New Roman"/>
          <w:b/>
          <w:bCs/>
          <w:sz w:val="21"/>
          <w:szCs w:val="21"/>
          <w:lang w:val="en-US" w:eastAsia="zh-CN"/>
        </w:rPr>
        <w:t>Methods</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 xml:space="preserve"> In this study, a series of CYP1A2-specific fluorescent probes were designed and synthesized based on the mechanism of P450-mediated </w:t>
      </w:r>
      <w:r>
        <w:rPr>
          <w:rFonts w:hint="eastAsia" w:ascii="Times New Roman" w:hAnsi="Times New Roman" w:eastAsia="宋体" w:cs="Times New Roman"/>
          <w:sz w:val="21"/>
          <w:szCs w:val="21"/>
          <w:lang w:eastAsia="zh-CN"/>
        </w:rPr>
        <w:t>sulfoxidation</w:t>
      </w:r>
      <w:r>
        <w:rPr>
          <w:rFonts w:hint="default" w:ascii="Times New Roman" w:hAnsi="Times New Roman" w:eastAsia="宋体" w:cs="Times New Roman"/>
          <w:sz w:val="21"/>
          <w:szCs w:val="21"/>
        </w:rPr>
        <w:t>. Using 7-nitrobenz-2-oxa-1,3-diazole (NBD) as the fluorophore scaffold, six distinct sulfur-containing substituents were introduced at the reaction site. Candidate probes underwent systematic characterization and validation, including determination of spectral properties and fluorescence quantum yields, evaluation of metabolic phenotypes, and assessment of their applicability for live-cell imaging and HTS of CYP1A2 inhibitors.</w:t>
      </w:r>
    </w:p>
    <w:p w14:paraId="670852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eastAsia" w:ascii="Times New Roman" w:hAnsi="Times New Roman" w:eastAsia="宋体" w:cs="Times New Roman"/>
          <w:b/>
          <w:bCs/>
          <w:sz w:val="21"/>
          <w:szCs w:val="21"/>
          <w:lang w:val="en-US" w:eastAsia="zh-CN"/>
        </w:rPr>
        <w:t>Results</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sz w:val="21"/>
          <w:szCs w:val="21"/>
        </w:rPr>
        <w:t xml:space="preserve">Screening and optimization identified </w:t>
      </w:r>
      <w:r>
        <w:rPr>
          <w:rFonts w:hint="default" w:ascii="Times New Roman" w:hAnsi="Times New Roman" w:eastAsia="宋体" w:cs="Times New Roman"/>
          <w:b/>
          <w:bCs/>
          <w:sz w:val="21"/>
          <w:szCs w:val="21"/>
        </w:rPr>
        <w:t>NBTM</w:t>
      </w:r>
      <w:r>
        <w:rPr>
          <w:rFonts w:hint="default" w:ascii="Times New Roman" w:hAnsi="Times New Roman" w:eastAsia="宋体" w:cs="Times New Roman"/>
          <w:sz w:val="21"/>
          <w:szCs w:val="21"/>
        </w:rPr>
        <w:t xml:space="preserve"> as a highly selective CYP1A2 fluorescent probe. </w:t>
      </w:r>
      <w:r>
        <w:rPr>
          <w:rFonts w:hint="default" w:ascii="Times New Roman" w:hAnsi="Times New Roman" w:eastAsia="宋体" w:cs="Times New Roman"/>
          <w:b/>
          <w:bCs/>
          <w:sz w:val="21"/>
          <w:szCs w:val="21"/>
        </w:rPr>
        <w:t>NBTM</w:t>
      </w:r>
      <w:r>
        <w:rPr>
          <w:rFonts w:hint="default" w:ascii="Times New Roman" w:hAnsi="Times New Roman" w:eastAsia="宋体" w:cs="Times New Roman"/>
          <w:sz w:val="21"/>
          <w:szCs w:val="21"/>
        </w:rPr>
        <w:t xml:space="preserve"> exhibited excitation/emission wavelengths of 500/550 nm, while its S-oxidized metabolite, </w:t>
      </w:r>
      <w:r>
        <w:rPr>
          <w:rFonts w:hint="default" w:ascii="Times New Roman" w:hAnsi="Times New Roman" w:eastAsia="宋体" w:cs="Times New Roman"/>
          <w:b/>
          <w:bCs/>
          <w:sz w:val="21"/>
          <w:szCs w:val="21"/>
        </w:rPr>
        <w:t>NBTMO</w:t>
      </w:r>
      <w:r>
        <w:rPr>
          <w:rFonts w:hint="default" w:ascii="Times New Roman" w:hAnsi="Times New Roman" w:eastAsia="宋体" w:cs="Times New Roman"/>
          <w:sz w:val="21"/>
          <w:szCs w:val="21"/>
        </w:rPr>
        <w:t xml:space="preserve">, displayed excitation/emission maxima at 485/550 nm. </w:t>
      </w:r>
      <w:r>
        <w:rPr>
          <w:rFonts w:hint="default" w:ascii="Times New Roman" w:hAnsi="Times New Roman" w:eastAsia="宋体" w:cs="Times New Roman"/>
          <w:b/>
          <w:bCs/>
          <w:sz w:val="21"/>
          <w:szCs w:val="21"/>
        </w:rPr>
        <w:t>NBTM</w:t>
      </w:r>
      <w:r>
        <w:rPr>
          <w:rFonts w:hint="default" w:ascii="Times New Roman" w:hAnsi="Times New Roman" w:eastAsia="宋体" w:cs="Times New Roman"/>
          <w:sz w:val="21"/>
          <w:szCs w:val="21"/>
        </w:rPr>
        <w:t xml:space="preserve"> demonstrated a characteristic enzyme-activated "off–on" response: fluorescence was significantly enhanced following CYP1A2-mediated </w:t>
      </w:r>
      <w:r>
        <w:rPr>
          <w:rFonts w:hint="eastAsia" w:ascii="Times New Roman" w:hAnsi="Times New Roman" w:eastAsia="宋体" w:cs="Times New Roman"/>
          <w:sz w:val="21"/>
          <w:szCs w:val="21"/>
          <w:lang w:eastAsia="zh-CN"/>
        </w:rPr>
        <w:t>sulfoxidation</w:t>
      </w:r>
      <w:r>
        <w:rPr>
          <w:rFonts w:hint="default" w:ascii="Times New Roman" w:hAnsi="Times New Roman" w:eastAsia="宋体" w:cs="Times New Roman"/>
          <w:sz w:val="21"/>
          <w:szCs w:val="21"/>
        </w:rPr>
        <w:t>, with an approximately 8-fold increase in fluorescence quantum yield. The probe enabled real-time imaging of endogenous CYP1A2 in live cells and was successfully applied to the high-throughput screening of CYP1A2 inhibitors.</w:t>
      </w:r>
    </w:p>
    <w:p w14:paraId="123932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Conclusion</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We successfully developed </w:t>
      </w:r>
      <w:r>
        <w:rPr>
          <w:rFonts w:hint="eastAsia" w:ascii="Times New Roman" w:hAnsi="Times New Roman" w:eastAsia="宋体" w:cs="Times New Roman"/>
          <w:b/>
          <w:bCs/>
          <w:sz w:val="21"/>
          <w:szCs w:val="21"/>
          <w:lang w:val="en-US" w:eastAsia="zh-CN"/>
        </w:rPr>
        <w:t>NBTM</w:t>
      </w:r>
      <w:r>
        <w:rPr>
          <w:rFonts w:hint="eastAsia" w:ascii="Times New Roman" w:hAnsi="Times New Roman" w:eastAsia="宋体" w:cs="Times New Roman"/>
          <w:sz w:val="21"/>
          <w:szCs w:val="21"/>
          <w:lang w:val="en-US" w:eastAsia="zh-CN"/>
        </w:rPr>
        <w:t>, an enzyme-activated "off-on" fluorescent probe based on the sulfoxidation mechanism of CYP1A2. This probe combines high sensitivity with excellent biocompatibility, enabling real-time imaging of intracellular CYP1A2 activity and proving suitable for screening and evaluating its inhibitors.</w:t>
      </w:r>
    </w:p>
    <w:p w14:paraId="6EDCD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1"/>
          <w:szCs w:val="21"/>
          <w:lang w:val="en-US" w:eastAsia="zh-CN"/>
        </w:rPr>
      </w:pPr>
    </w:p>
    <w:p w14:paraId="5B76A5ED">
      <w:pPr>
        <w:rPr>
          <w:rFonts w:hint="eastAsia"/>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B805"/>
    <w:multiLevelType w:val="singleLevel"/>
    <w:tmpl w:val="CC86B805"/>
    <w:lvl w:ilvl="0" w:tentative="0">
      <w:start w:val="1"/>
      <w:numFmt w:val="decimal"/>
      <w:suff w:val="space"/>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D6D5E"/>
    <w:rsid w:val="09E70BE8"/>
    <w:rsid w:val="28174C0D"/>
    <w:rsid w:val="40326476"/>
    <w:rsid w:val="56EF35FC"/>
    <w:rsid w:val="638C7CE6"/>
    <w:rsid w:val="714807DB"/>
    <w:rsid w:val="73C64524"/>
    <w:rsid w:val="75366424"/>
    <w:rsid w:val="779A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2163</Characters>
  <Lines>0</Lines>
  <Paragraphs>0</Paragraphs>
  <TotalTime>0</TotalTime>
  <ScaleCrop>false</ScaleCrop>
  <LinksUpToDate>false</LinksUpToDate>
  <CharactersWithSpaces>2461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2025-01-13T02:09:00Z</dcterms:created>
  <dc:creator>LENOVO</dc:creator>
  <cp:lastModifiedBy>Li</cp:lastModifiedBy>
  <dcterms:modified xsi:type="dcterms:W3CDTF">2026-02-13T05:58:51Z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951A006F10294525B09F64E952BB9C54_13</vt:lpwstr>
  </property>
  <property fmtid="{D5CDD505-2E9C-101B-9397-08002B2CF9AE}" pid="4" name="KSOTemplateDocerSaveRecord">
    <vt:lpwstr>eyJoZGlkIjoiOTgzMzVkNGJmZjAzNjQxMmNmMDM0NzFjMmRlZGIwNzEiLCJ1c2VySWQiOiI1NzU3NDc4NzMifQ==</vt:lpwstr>
  </property>
</Properties>
</file>