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C513">
      <w:pPr>
        <w:spacing w:before="0" w:beforeLines="0" w:after="0" w:afterLines="0" w:line="36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  <w:t>Title:</w:t>
      </w:r>
    </w:p>
    <w:p w14:paraId="5E68B7A7">
      <w:pPr>
        <w:spacing w:before="0" w:beforeLines="0" w:after="0" w:afterLines="0" w:line="360" w:lineRule="auto"/>
        <w:ind w:left="0" w:leftChars="0" w:right="0" w:rightChars="0" w:firstLine="0" w:firstLineChars="0"/>
        <w:jc w:val="left"/>
        <w:rPr>
          <w:rFonts w:hint="default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  <w:t>Drug-Drug Interaction Between Traditional Chinese Medicine and Isosorbide</w:t>
      </w:r>
      <w:r>
        <w:rPr>
          <w:rFonts w:hint="eastAsia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" w:cs="Times New Roman"/>
          <w:b/>
          <w:bCs/>
          <w:kern w:val="2"/>
          <w:sz w:val="21"/>
          <w:szCs w:val="24"/>
          <w:lang w:val="en-US" w:eastAsia="zh-CN" w:bidi="ar-SA"/>
        </w:rPr>
        <w:t>5-Mononitrate Based on ALDH1A1 Activity Inhibition</w:t>
      </w:r>
    </w:p>
    <w:p w14:paraId="381EBD22">
      <w:pPr>
        <w:jc w:val="both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Author: </w:t>
      </w:r>
    </w:p>
    <w:p w14:paraId="51697F7D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Yu Liu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 xml:space="preserve">), </w:t>
      </w: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Cong Hu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 xml:space="preserve">), Shiqing Li (2), Liwei Zou*(2), </w:t>
      </w: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Ling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Yang</w:t>
      </w:r>
      <w:r>
        <w:rPr>
          <w:rFonts w:hint="eastAsia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*(1)</w:t>
      </w:r>
    </w:p>
    <w:p w14:paraId="3A47656B">
      <w:pPr>
        <w:jc w:val="both"/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  <w:t>*Corresponding author</w:t>
      </w:r>
    </w:p>
    <w:p w14:paraId="5DDEB9FF">
      <w:pPr>
        <w:spacing w:line="360" w:lineRule="auto"/>
        <w:rPr>
          <w:rFonts w:hint="default" w:ascii="Times New Roman" w:hAnsi="Times New Roman" w:cs="Times New Roman"/>
          <w:b w:val="0"/>
          <w:i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Affiliations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: </w:t>
      </w:r>
    </w:p>
    <w:p w14:paraId="6163A85F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Zunyi Medical University, Key Laboratory of Basic Pharmacology of the Ministry of Education and Joint International Research Laboratory of Ethnomedicine of the Ministry of Education, Zunyi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563000, China</w:t>
      </w:r>
    </w:p>
    <w:p w14:paraId="7550EF2F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Shanghai University of Traditional Chinese Medicine, Shanghai Frontiers Science Center of TCM Chemical Biology, Institute of Interdisciplinary Integrative Medicine Research, Shanghai, 201203, China</w:t>
      </w: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55E3F895">
      <w:pPr>
        <w:pStyle w:val="11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60" w:lineRule="auto"/>
        <w:ind w:left="0" w:right="0" w:firstLine="0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Style w:val="1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Abstract</w:t>
      </w:r>
      <w:r>
        <w:rPr>
          <w:rStyle w:val="14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0940439F">
      <w:pPr>
        <w:pStyle w:val="11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360" w:lineRule="auto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1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Background: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ALDH1A1 is a key enzyme mediating the metabolic activation of Isosorbide 5-Mononitrate (IS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>MN)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. IS-5-MN is frequently co-administered with traditional Chinese medicines (TCMs) in clinical practice.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his study aimed to establish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an ALDH1A1 activity evaluation system and identify relevant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TCM </w:t>
      </w:r>
      <w:r>
        <w:rPr>
          <w:rFonts w:hint="default" w:ascii="Times New Roman" w:hAnsi="Times New Roman" w:eastAsia="宋体" w:cs="Times New Roman"/>
          <w:sz w:val="21"/>
          <w:szCs w:val="21"/>
        </w:rPr>
        <w:t>inhibitors for rational co-medication.</w:t>
      </w:r>
    </w:p>
    <w:p w14:paraId="71C59454">
      <w:pPr>
        <w:pStyle w:val="11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360" w:lineRule="auto"/>
        <w:ind w:left="0" w:right="0" w:firstLine="0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Style w:val="1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Methods: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As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theophylline acetaldehyde (TA) as a potential ALDH substrate probe, we confirmed the dominant role of ALDH1A1 in TA oxidative metabolism via metabolic phenotyping.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An in vitro ALDH1A1 activity assay was then developed using TA as the probe substrate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With this system, 47 clinically relevant TCMs and their major monomeric components were systematically screened for ALDH1A1 inhibitory activity and mechanism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Selected potent inhibitors were further evaluated for in vivo drug–drug interaction potential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in rats</w:t>
      </w:r>
    </w:p>
    <w:p w14:paraId="021D52F4">
      <w:pPr>
        <w:pStyle w:val="11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360" w:lineRule="auto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1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Results: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1) </w:t>
      </w:r>
      <w:r>
        <w:rPr>
          <w:rFonts w:hint="default" w:ascii="Times New Roman" w:hAnsi="Times New Roman" w:eastAsia="宋体" w:cs="Times New Roman"/>
          <w:sz w:val="21"/>
          <w:szCs w:val="21"/>
        </w:rPr>
        <w:t>TA was mainly oxidized to TAA by ALDH1A1, and a TA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>based assay for ALDH1A1 activity was successfully established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. 2)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ultiple TCMs and their monomer components exhibited significant inhibitory activity against ALDH1A1. Among them, 12 monomers showed IC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vertAlign w:val="subscript"/>
        </w:rPr>
        <w:t>50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&lt;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3 μM, and five compounds, including diosmetin and acacetin, had IC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vertAlign w:val="subscript"/>
        </w:rPr>
        <w:t>50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&lt;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 1 μM. Mechanistic studies revealed that ginsenosides Rh3 and Rh4 were time-dependent inhibitors, whereas most others were non-time-dependent inhibitors. Diosmetin and dicoumarol exhibited competitive inhibition; myricetin and isoxanthohumol showed non-competitive inhibition; and acacetin and quercetin displayed mixed-type inhibition. 3)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1"/>
          <w:szCs w:val="21"/>
          <w:shd w:val="clear" w:fill="FFFFFF"/>
        </w:rPr>
        <w:t>In vivo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, dicoumarol, ginsenoside Rh3, and Rh4 significantly inhibited IS‑5‑MN degradation and altered its pharmacokinetic profiles.</w:t>
      </w:r>
    </w:p>
    <w:p w14:paraId="4DC7D73B">
      <w:pPr>
        <w:pStyle w:val="11"/>
        <w:keepNext w:val="0"/>
        <w:keepLines w:val="0"/>
        <w:widowControl/>
        <w:suppressLineNumbers w:val="0"/>
        <w:shd w:val="clear" w:fill="FFFFFF"/>
        <w:spacing w:before="160" w:beforeAutospacing="0" w:after="0" w:afterAutospacing="0" w:line="360" w:lineRule="auto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1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Conclusion: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A reliable TA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>based ALDH1A1 activity assay was established. Multiple TCM components inhibit ALDH1A1 and impair IS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noBreakHyphen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MN metabolism, representing potential clinical DDI risks. </w:t>
      </w:r>
    </w:p>
    <w:p w14:paraId="49E062CE">
      <w:pPr>
        <w:numPr>
          <w:ilvl w:val="0"/>
          <w:numId w:val="0"/>
        </w:numPr>
        <w:spacing w:before="0" w:beforeLines="-2147483648" w:after="0" w:afterLines="-2147483648" w:line="360" w:lineRule="auto"/>
        <w:ind w:left="0" w:leftChars="0" w:right="0" w:rightChars="0" w:firstLine="0" w:firstLineChars="0"/>
        <w:jc w:val="left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6B805"/>
    <w:multiLevelType w:val="singleLevel"/>
    <w:tmpl w:val="CC86B805"/>
    <w:lvl w:ilvl="0" w:tentative="0">
      <w:start w:val="1"/>
      <w:numFmt w:val="decimal"/>
      <w:suff w:val="space"/>
      <w:lvlText w:val="(%1)"/>
      <w:lvlJc w:val="left"/>
      <w:rPr>
        <w:rFonts w:hint="default"/>
        <w:b w:val="0"/>
        <w:bCs w:val="0"/>
      </w:rPr>
    </w:lvl>
  </w:abstractNum>
  <w:abstractNum w:abstractNumId="1">
    <w:nsid w:val="1F107800"/>
    <w:multiLevelType w:val="multilevel"/>
    <w:tmpl w:val="1F10780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20C3CA92"/>
    <w:multiLevelType w:val="multilevel"/>
    <w:tmpl w:val="20C3CA9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60A5022"/>
    <w:rsid w:val="10196EF9"/>
    <w:rsid w:val="160A5022"/>
    <w:rsid w:val="291A6351"/>
    <w:rsid w:val="2AEC7C34"/>
    <w:rsid w:val="2B1E7D21"/>
    <w:rsid w:val="31674DA4"/>
    <w:rsid w:val="31F6377D"/>
    <w:rsid w:val="33B66A4E"/>
    <w:rsid w:val="349F0FB9"/>
    <w:rsid w:val="4D9E7167"/>
    <w:rsid w:val="57966BB4"/>
    <w:rsid w:val="5D423AA3"/>
    <w:rsid w:val="648D2ABB"/>
    <w:rsid w:val="6862324C"/>
    <w:rsid w:val="762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5"/>
    <w:qFormat/>
    <w:uiPriority w:val="0"/>
    <w:pPr>
      <w:numPr>
        <w:ilvl w:val="0"/>
        <w:numId w:val="1"/>
      </w:numPr>
      <w:spacing w:before="240" w:after="360" w:line="400" w:lineRule="exact"/>
      <w:ind w:left="432" w:hanging="432"/>
      <w:jc w:val="left"/>
      <w:outlineLvl w:val="0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1"/>
      </w:numPr>
      <w:spacing w:before="360" w:after="240" w:line="400" w:lineRule="exact"/>
      <w:ind w:left="575" w:hanging="575"/>
      <w:outlineLvl w:val="1"/>
    </w:pPr>
    <w:rPr>
      <w:rFonts w:ascii="Times New Roman" w:hAnsi="Times New Roman" w:eastAsia="宋体" w:cs="Times New Roman"/>
      <w:b/>
      <w:bCs/>
      <w:color w:val="000000"/>
      <w:kern w:val="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黑体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2074</Characters>
  <Lines>0</Lines>
  <Paragraphs>0</Paragraphs>
  <TotalTime>0</TotalTime>
  <ScaleCrop>false</ScaleCrop>
  <LinksUpToDate>false</LinksUpToDate>
  <CharactersWithSpaces>2377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2026-02-13T02:30:00Z</dcterms:created>
  <dc:creator>Hucong</dc:creator>
  <cp:lastModifiedBy>Li</cp:lastModifiedBy>
  <dcterms:modified xsi:type="dcterms:W3CDTF">2026-02-14T12:40:03Z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468FC15C72E948F78776387079202A92_13</vt:lpwstr>
  </property>
  <property fmtid="{D5CDD505-2E9C-101B-9397-08002B2CF9AE}" pid="4" name="KSOTemplateDocerSaveRecord">
    <vt:lpwstr>eyJoZGlkIjoiOTgzMzVkNGJmZjAzNjQxMmNmMDM0NzFjMmRlZGIwNzEiLCJ1c2VySWQiOiI1NzU3NDc4NzMifQ==</vt:lpwstr>
  </property>
</Properties>
</file>